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lang w:val="sr-Cyrl-CS"/>
        </w:rPr>
      </w:pPr>
      <w:bookmarkStart w:id="0" w:name="str_1"/>
      <w:bookmarkEnd w:id="0"/>
      <w:r>
        <w:rPr>
          <w:lang w:val="sr-Cyrl-CS"/>
        </w:rPr>
        <w:t xml:space="preserve">              На основу члана </w:t>
      </w:r>
      <w:r>
        <w:rPr>
          <w:rFonts w:hint="default"/>
          <w:lang w:val="sr-Cyrl-RS"/>
        </w:rPr>
        <w:t>119</w:t>
      </w:r>
      <w:r>
        <w:rPr>
          <w:lang w:val="sr-Cyrl-CS"/>
        </w:rPr>
        <w:t>. став 1. тачка 1.</w:t>
      </w:r>
      <w:r>
        <w:rPr>
          <w:lang w:val="sr-Cyrl-RS"/>
        </w:rPr>
        <w:t>а</w:t>
      </w:r>
      <w:r>
        <w:rPr>
          <w:rFonts w:hint="default"/>
          <w:lang w:val="sr-Cyrl-RS"/>
        </w:rPr>
        <w:t xml:space="preserve"> у вези са чл.72-75. </w:t>
      </w:r>
      <w:r>
        <w:rPr>
          <w:lang w:val="sr-Cyrl-CS"/>
        </w:rPr>
        <w:t xml:space="preserve"> Закон</w:t>
      </w:r>
      <w:bookmarkStart w:id="40" w:name="_GoBack"/>
      <w:bookmarkEnd w:id="40"/>
      <w:r>
        <w:rPr>
          <w:lang w:val="sr-Cyrl-CS"/>
        </w:rPr>
        <w:t xml:space="preserve">а о основама система образовања и васпитања (''Службени гласник РС'', бр. </w:t>
      </w:r>
      <w:r>
        <w:rPr>
          <w:rFonts w:hint="default"/>
          <w:lang w:val="sr-Cyrl-RS"/>
        </w:rPr>
        <w:t>88</w:t>
      </w:r>
      <w:r>
        <w:rPr>
          <w:lang w:val="sr-Cyrl-CS"/>
        </w:rPr>
        <w:t>/</w:t>
      </w:r>
      <w:r>
        <w:rPr>
          <w:rFonts w:hint="default"/>
          <w:lang w:val="sr-Cyrl-RS"/>
        </w:rPr>
        <w:t>2017,</w:t>
      </w:r>
      <w:r>
        <w:rPr>
          <w:lang w:val="sr-Cyrl-CS"/>
        </w:rPr>
        <w:t xml:space="preserve">  </w:t>
      </w:r>
      <w:r>
        <w:rPr>
          <w:rFonts w:hint="default"/>
          <w:lang w:val="sr-Cyrl-RS"/>
        </w:rPr>
        <w:t>27</w:t>
      </w:r>
      <w:r>
        <w:rPr>
          <w:lang w:val="sr-Cyrl-CS"/>
        </w:rPr>
        <w:t>/</w:t>
      </w:r>
      <w:r>
        <w:rPr>
          <w:rFonts w:hint="default"/>
          <w:lang w:val="sr-Cyrl-RS"/>
        </w:rPr>
        <w:t>2018-др.закони и 10/2019</w:t>
      </w:r>
      <w:r>
        <w:rPr>
          <w:lang w:val="sr-Cyrl-CS"/>
        </w:rPr>
        <w:t xml:space="preserve">) </w:t>
      </w:r>
      <w:r>
        <w:rPr>
          <w:rFonts w:hint="default"/>
          <w:lang w:val="sr-Cyrl-RS"/>
        </w:rPr>
        <w:t>,члан 61-63,Закон оосном образовању и васпитању (“СЛ. Гласник РС”, бр.55/2013,101/101/2017,27/2018-др.закони и 10/2019) и члан 164. Статута школе бр.04-580/1 од 12.06.2019.године ,</w:t>
      </w:r>
      <w:r>
        <w:rPr>
          <w:lang w:val="sr-Cyrl-CS"/>
        </w:rPr>
        <w:t>Школски одбор Основне школе ''Витко и Света'' Гаџин Хан, на седници одржаној _</w:t>
      </w:r>
      <w:r>
        <w:rPr>
          <w:rFonts w:hint="default"/>
          <w:lang w:val="sr-Cyrl-RS"/>
        </w:rPr>
        <w:t>14.11.2019</w:t>
      </w:r>
      <w:r>
        <w:rPr>
          <w:lang w:val="sr-Cyrl-CS"/>
        </w:rPr>
        <w:t xml:space="preserve"> . доноси </w:t>
      </w:r>
    </w:p>
    <w:p>
      <w:pPr>
        <w:spacing w:line="240" w:lineRule="auto"/>
        <w:rPr>
          <w:lang w:val="sr-Cyrl-CS"/>
        </w:rPr>
      </w:pP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ПРАВИЛНИК</w:t>
      </w:r>
    </w:p>
    <w:p>
      <w:pPr>
        <w:spacing w:line="24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О ОЦЕЊИВАЊУ УЧЕНИКА У ОСНОВНОМ ОБРАЗОВАЊУ И ВАСПИТАЊУ</w:t>
      </w:r>
    </w:p>
    <w:p>
      <w:pPr>
        <w:spacing w:line="240" w:lineRule="auto"/>
        <w:jc w:val="center"/>
        <w:rPr>
          <w:b/>
        </w:rPr>
      </w:pPr>
      <w:r>
        <w:rPr>
          <w:b/>
        </w:rPr>
        <w:t>Предмет Правилника</w:t>
      </w:r>
    </w:p>
    <w:p>
      <w:pPr>
        <w:spacing w:line="240" w:lineRule="auto"/>
        <w:jc w:val="center"/>
        <w:rPr>
          <w:b/>
        </w:rPr>
      </w:pPr>
      <w:r>
        <w:rPr>
          <w:b/>
        </w:rPr>
        <w:t>Члан 1</w:t>
      </w:r>
    </w:p>
    <w:p>
      <w:pPr>
        <w:spacing w:line="240" w:lineRule="auto"/>
      </w:pPr>
      <w:r>
        <w:t xml:space="preserve">Овим правилником утврђују се начин, поступак и критеријуми оцењивања успеха из појединачних наставних предмета и владања и друга питања од значаја за оцењивање ученика и одраслих у основном образовању и васпитању (у даљем тексту: ученик). </w:t>
      </w:r>
    </w:p>
    <w:p>
      <w:pPr>
        <w:spacing w:line="240" w:lineRule="auto"/>
        <w:jc w:val="center"/>
        <w:rPr>
          <w:b/>
        </w:rPr>
      </w:pPr>
      <w:r>
        <w:rPr>
          <w:b/>
        </w:rPr>
        <w:t>Сврха и принципи оцењивања ученика</w:t>
      </w:r>
    </w:p>
    <w:p>
      <w:pPr>
        <w:spacing w:line="240" w:lineRule="auto"/>
        <w:jc w:val="center"/>
        <w:rPr>
          <w:b/>
        </w:rPr>
      </w:pPr>
      <w:r>
        <w:rPr>
          <w:b/>
        </w:rPr>
        <w:t>Члан 2</w:t>
      </w: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ученике са сметњама у развоју и инвалидитетом прилагођених циљева, садржаја и исхода у савладавању индивидуалног образовног плана.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Оцењивање је континуирана педагошка активност која позитивно утврђује однос према учењу и знању и подстиче мотивацију за учење.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Оцењивањем се ученик оспособљава за објективну процену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Принципи оцењивања, у смислу овог правилника, јесу: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1) објективност у оцењивању према утврђеним критеријумима;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2) релевантност оцењивања;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3) коришћење разноврсних техника и метода оцењивања;</w:t>
      </w: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4) правичност у оцењивању;</w:t>
      </w: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5) редовност и благовременост у оцењивању;</w:t>
      </w: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6) оцењивање без дискриминације и издвајања по било ком основу;</w:t>
      </w:r>
    </w:p>
    <w:p>
      <w:pPr>
        <w:spacing w:line="240" w:lineRule="auto"/>
        <w:jc w:val="both"/>
        <w:rPr>
          <w:b w:val="0"/>
          <w:bCs/>
        </w:rPr>
      </w:pPr>
      <w:r>
        <w:rPr>
          <w:rFonts w:hint="default"/>
          <w:b w:val="0"/>
          <w:bCs/>
        </w:rPr>
        <w:t>7) уважавање индивидуалних разлика, потреба, узраста, претходних постигнућа ученика и тренутних услова у којима се оцењивање одвија.</w:t>
      </w:r>
    </w:p>
    <w:p>
      <w:pPr>
        <w:spacing w:line="240" w:lineRule="auto"/>
        <w:jc w:val="both"/>
        <w:rPr>
          <w:b w:val="0"/>
          <w:bCs/>
        </w:rPr>
      </w:pPr>
      <w:r>
        <w:rPr>
          <w:b w:val="0"/>
          <w:bCs/>
        </w:rPr>
        <w:t>Предмет и врсте оцењивања ученика</w:t>
      </w:r>
    </w:p>
    <w:p>
      <w:pPr>
        <w:spacing w:line="240" w:lineRule="auto"/>
        <w:ind w:firstLine="2641" w:firstLineChars="110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Формативно и сумативно оцењивање</w:t>
      </w:r>
    </w:p>
    <w:p>
      <w:pPr>
        <w:spacing w:line="240" w:lineRule="auto"/>
        <w:ind w:firstLine="4200" w:firstLineChars="1750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Члан 3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 се оцењује из обавезних предмета, изборних програма, активности (пројектне наставе и слободних наставних активности) са и без модула и владања, у складу са Законом, посебним законом и овим правилником.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Формативно оцењивање, у смислу овог правилника, јесте редовно праћење и процена напредовања у остваривању прописаних исхода, стандарда постигнућа и ангажовања у оквиру обавезног предмета, изборних програма, активности (пројектне наставе и слободних наставних активности) са и без модула, као и праћење владања ученика. Формативно оцењивање садржи повратну информацију о остварености прописаних исхода и стандарда постигнућа и ангажовања у оквиру предмета, изборних програма, активности са и без модула, предузете активности од стране наставника за унапређивање постигнућа ученика, процена њихове делотворности и јасне и конкретне препоруке за даље напредовање.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Формативне оцене се по правилу евидентирају у педагошкој документацији наставника, у складу са овим правилником и најчешће се односе на редовно праћење напретка постигнућа ученика, начин како учи, степен самосталности у раду, начин остваривања сарадње у процесу учења са другим ученицима и други подаци о ученику битни за праћење.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Сумативно оцењивање, у смислу овог правилника, јесте вредновање постигнућа ученика на крају програмске целине или на крају полугодишта из обавезног предмета, изборних програма, активности и владања.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Оцене добијене сумативним оцењивањем у првом разреду су описне и на крају полугодишта, односно школске године исказују се као напредовање ученика у остваривању исхода, ангажовање и препорука. Оцене добијене сумативним оцењивањем у осталим разредима су по правилу бројчане.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Сумативне оцене се евидентирају у прописаној евиденцији о образовно-васпитном раду (у даљем тексту: дневник), а могу бити унете и у педагошку документацију, у складу са овим правилником.</w:t>
      </w:r>
    </w:p>
    <w:p>
      <w:pPr>
        <w:spacing w:line="240" w:lineRule="auto"/>
        <w:ind w:firstLine="3482" w:firstLineChars="145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Оцена ученика</w:t>
      </w:r>
    </w:p>
    <w:p>
      <w:pPr>
        <w:spacing w:line="240" w:lineRule="auto"/>
        <w:ind w:firstLine="3962" w:firstLineChars="16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4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је описна и бројчана.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је и показатељ квалитета и ефикасности рада наставника и школе у остваривању прописаних исхода и стандарда постигнућа.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 првом разреду основног образовања и васпитања, у току школске године, ученик се оцењује описном оценом из обавезног предмета, изборних програма и активности (пројектне наставе).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 оквиру предмета, у првом разреду, у току школске године, описном оценом изражава се напредовање у остваривању прописаних исхода.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Од другог до осмог разреда, у току школске године, ученик се оцењује описно и бројчано из обавезног предмета, изборних програма и активности (пројектне наставе и слободних наставних активности) и владања.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Бројчана оцена из обавезног предмета и изборног програма други страни језик је: одличан (5), врло добар (4), добар (3), довољан (2) и недовољан (1). Оцена недовољан (1) је непрелазна.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Успех ученика из изборних програма и то: верска настава и грађанско васпитање, матерњи језик/говор са елементима националне културе и активности (пројектне наставе и слободних наставних активности) оцењује се описно и то: истиче се, добар, задовољава.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922" w:firstLineChars="20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5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оцена, изузев у случају када због угрожености безбедности и здравља ученика и запослених није могуће оценити ученика потребан број пута.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Ученику се не може умањити оцена из обавезног предмета, изборних програма и активности (пројектне наставе и слободних наставних активности) због односа ученика према ваннаставним активностима или непримереног понашања у школи.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Ученик, његов родитељ, други законски заступник има право да поднесе приговор у складу са Законом.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Бројчана оцена ученика обавезног предмета и изборног програма други страни језик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082" w:firstLineChars="170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6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 се оцењује бројчано из обавезних предмета и изборног програма други страни језик, у складу са законом и овим правилником.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Бројчана оцена из обавезних предмета и изборног програма други страни језик, у току школске године, утврђује се на основу следећих критеријума: оствареност исхода, самосталност и ангажовање ученика.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Оцену одличан (5) добија ученик који: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у потпуности показује способност трансформације знања и примене у новим ситуацијама;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лако логички повезује чињенице и појмове;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самостално изводи закључке који се заснивају на подацима;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решава проблеме на нивоу стваралачког мишљења и у потпуности критички расуђује;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показује изузетну самосталност уз изузетно висок степен активности и ангажовања.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Оцену врло добар (4) добија ученик који: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у великој мери показује способност примене знања и логички повезује чињенице и појмове;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самостално изводи закључке који се заснивају на подацима;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решава поједине проблеме на нивоу стваралачког мишљења и у знатној мери критички расуђује;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показује велику самосталност и висок степен активности и ангажовања.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Оцену добар (3) добија ученик који: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у довољној мери показује способност употребе информација у новим ситуацијама;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у знатној мери логички повезује чињенице и појмове;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већим делом самостално изводи закључке који се заснивају на подацима и делимично самостално решава поједине проблеме;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у довољној мери критички расуђује;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показује делимични степен активности и ангажовања.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Оцену довољан (2) добија ученик који: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знања која је остварио су на нивоу репродукције, уз минималну примену;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у мањој мери логички повезује чињенице и појмове и искључиво уз подршку наставника изводи закључке који се заснивају на подацима;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понекад је самосталан у решавању проблема и у недовољној мери критички расуђује;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показује мањи степен активности и ангажовања.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Недовољан (1) добија ученик који: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знања која је остварио нису ни на нивоу препознавања и не показује способност репродукције и примене;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не изводи закључке који се заснивају на подацима;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критички не расуђује;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- не показује интересовање за учешће у активностима нити ангажовање.</w:t>
      </w:r>
    </w:p>
    <w:p>
      <w:pPr>
        <w:spacing w:line="240" w:lineRule="auto"/>
        <w:ind w:firstLine="600" w:firstLineChars="25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Закључна оцена обавезног предмета, изборног програма и активности</w:t>
      </w:r>
    </w:p>
    <w:p>
      <w:pPr>
        <w:spacing w:line="240" w:lineRule="auto"/>
        <w:ind w:firstLine="4442" w:firstLineChars="18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7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из обавезног предмета, изборног програма и активности (пројектне наставе и слободних наставних активности)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 првом разреду закључне оцене из обавезних предмета и из изборних програма и активности (пројектна настава) уносе се у ђачку књижицу и ученик прелази у наредни разред.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из обавезног предмета за ученика од другог до осмог разреда је бројчана.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из изборних програма и активности (слободне наставне активности и пројектна настава)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Ученика од првог до четвртог разреда у току образовно-васпитног рада, оцењује наставник који изводи наставу, а оцену на крају полугодишта утврђује одељењско веће на предлог наставника.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Ученика од петог до осмог разреда оцењује предметни наставник у току образовно-васпитног рада, а оцену на крају полугодишта утврђује одељењско веће на предлог предметног наставника.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Kада предмет садржи модуле, закључна оцена се изводи на основу позитивних оцена свих модула у оквиру предмета.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дневник, добијене било којом техником провере знања.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за успех из обавезног предмета и изборног програма други страни језик, не може да буде мања од: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1) одличан (5), ако је аритметичка средина свих појединачних оцена најмање 4,50;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2) врло добар (4), ако је аритметичка средина свих појединачних оцена од 3,50 до 4,49;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3) добар (3), ако је аритметичка средина свих појединачних оцена од 2,50 до 3,49;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4) довољан (2), ако је аритметичка средина свих појединачних оцена од 1,50 до 2,49.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на полугодишту не узима се у обзир приликом утврђивања аритметичке средине из става 10. овог члана, на крају другог полугодишта.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Ако одељењско веће не прихвати образложени предлог закључне оцене предметног наставника, нову оцену утврђује одељењско веће гласањем.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Утврђена оцена из става 12. овог члана евидентира се у напомени, а у записнику одељењског већа шире се образлаже.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утврђена на одељењском већу уписује се у дневник у предвиђену рубрику.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Ученик, његов родитељ, други законски заступник има право да поднесе приговор у складу са Законом.</w:t>
      </w: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Оцењивање ученика који остварују додатну подршку у образовању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682" w:firstLineChars="19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8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3722" w:firstLineChars="155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Иницијално процењивање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5163" w:firstLineChars="21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9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На почетку школске године наставник процењује претходна постигнућа ученика у оквиру одређене области, модула или теме, која су од значаја за обавезни предмет, изборни програм и активност (у даљем тексту: иницијално процењивање) у тој школској години.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Резултат иницијалног процењивања не оцењује се и служи за планирање рада наставника и даље праћење напредовања ученика.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2641" w:firstLineChars="110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Начин и поступак оцењивања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3482" w:firstLineChars="14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10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 се оцењује на основу усмене провере постигнућа, писмене провере постигнућа и практичног рада, а у складу са програмом обавезног предмета, изборног програма и активности. У току полугодишта најмање једна оцена треба да буде на основу усмене провере постигнућа ученика.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 се оцењује и на основу активности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- портфолија, у складу са програмом наставе и учења, односно школским програмом.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наставе и учења, односно школским програмом.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1921" w:firstLineChars="80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Распоред писмених задатака и писмених провера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802" w:firstLineChars="200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11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Распоред писмених задатака и писмених провера (у даљем тексту: распоред) дужих од 15 минута уписује се у дневник и објављује се за свако одељење на огласној табли школе и на званичној интернет страни школе најкасније до краја треће наставне недеље у сваком полугодишту.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Распоредом може да се планира највише једна провера у дану, а две у наставној недељи.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Распоред утврђује директор на предлог одељењског већа.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Одељењски старешина дужан је да прати да се писмени задаци и писмене провере, дуже од 15 минута, остварују у складу са распоредом и да благовремено указује директору и наставницима на обавезу поштовања распореда и прописани број провера.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Наставник је дужан да обавести ученике о садржајима програма наставе и учења који ће се писмено проверавати према распореду најкасније пет дана пре провере.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082" w:firstLineChars="170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Писмене провере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682" w:firstLineChars="19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12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Провера постигнућа ученика обавља се на сваком часу.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Писмене провере постигнућа у трајању до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из писмене провере постигнућа у трајању до 15 минута се не уписују у дневник.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из писмене провере постигнућа у трајању до 15 минута евидентира се у педагошкој документацији наставника ради праћења постигнућа ученика на крају програмске целине или на крају полугодишта.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Резултати писмене провере постигнућа у трајању до 15 минута могу се узети у обзир приликом утврђивања закључне оцене ученика, а у најбољем интересу ученика.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 у току часа може да буде само једанпут оцењен за усмену или писмену проверу постигнућа.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из писмене провере постигнућа уписује се у дневник у року од осам радних дана од дана провере, у противном писмена провера се поништава.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Ако након писмене провере постигнућа више од половине ученика једног одељења добије недовољну оцену, писмена провера се поништава за ученика који је добио недовољну оцену.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са писмене провере може бити поништена и ученику који није задовољан оценом.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Писмена провера из става 8. овог члана понавља се једанпут и може да буде организована на посебном часу.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Након поништене писмене провере, а пре организовања поновљене, наставник је дужан да одржи допунску наставу, односно допунски рад.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 и родитељ има право увида у писани рад, као и право на образложење оцене. Начин остваривања увида у писани рад школа утврђује у сарадњи са родитељима.</w:t>
      </w:r>
    </w:p>
    <w:p>
      <w:pPr>
        <w:spacing w:line="240" w:lineRule="auto"/>
        <w:ind w:firstLine="3122" w:firstLineChars="130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Оцењивање владања ученика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202" w:firstLineChars="17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13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Владање се оцењује најмање два пута у току полугодишта.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Владање ученика од првог до петог разреда основног образовања и васпитања оцењује се описно у току и на крају полугодишта.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Владање ученика од шестог до осмог разреда основног образовања и васпитања оцењује се описно у току полугодишта, а бројчано на крају полугодишта.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из владања ученика из става 2. овог члана јесте: примерно, врло добро, добро, задовољавајуће и незадовољавајуће, и не утиче на општи успех ученика.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из владања из става 3. овог члана на крају првог и другог полугодишта јесте: примерно (5), врло добро (4), добро (3), задовољавајуће (2) и незадовољавајуће (1) и свака од наведених оцена утиче на општи успех ученика.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Владање одраслих не оцењује се.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Приликом оцењивања владања сагледава се понашање ученика у целини.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На оцену из владања не утичу оцене из обавезног предмета, изборних програма и активности (слободне наставне активности и пројектна настава).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из владања смањује се због изречене васпитно-дисциплинске мере, а може да се смањи због понашања за које је изречена васпитна мера.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из владања поправља се на предлог одељењског старешине најкасније на крају полугодишта када се утврди да ученик показује позитивне промене у свом понашању и прихвата одговорност за своје поступке након појачаног васпитног рада, оствареног друштвено корисног, односно хуманитарног рада, након изречене васпитне, односно васпитно-дисциплинске мере.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Ученик, његов родитељ, други законски заступник има право да поднесе приговор у складу са Законом.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2041" w:firstLineChars="85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Описна оцена из владања у току полугодишта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202" w:firstLineChars="17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14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Описна оцена из владања ученика у току полугодишта утврђује се на основу учениковог односа према обавезама и правилима понашања, нарочито понашања према другим ученицима, запосленима и имовини.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из става 1. овог члана садржи и васпитну препоруку.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Опис односа према обавезама јесте: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1) у потпуности извршава обавезе у школи;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2) углавном извршава обавезе у школи;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3) делимично извршава обавезе у школи;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4) углавном не извршава обавезе;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5) не извршава обавезе у школи.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Опис понашања према другим ученицима, запосленима и имовини јесте: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1) представља пример другима својим односом према ученицима, запосленима и имовини;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2) има најчешће коректан однос према ученицима, запосленима и имовини;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3) понекад се непримерено односи према ученицима, запосленима и имовини;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4) често има непримерен однос према ученицима, запосленима и имовини;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5) најчешће има непримерен однос према ученицима, запосленима и имовини.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2761" w:firstLineChars="115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Закључна оцена из владања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082" w:firstLineChars="170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15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Закључну оцену из владања, на предлог одељењског старешине, утврђује одељењско веће.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Закључна оцена из владања утврђује се на основу понашања ученика у целини, имајући при том у виду и ангажовање ученика у ваннаставним активностима, у складу са школским програмом (слободне активности, ученичка задруга, заштита животне средине, заштита од насиља, злостављања и занемаривања,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законом, а нарочито на основу односа према: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1) школским обавезама;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2) другим ученицима;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3) запосленима школе и других организација у којима се остварује образовно-васпитни рад;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4) школској имовини, имовини других лица или организација у којима се остварује настава или поједини облици образовно-васпитног рада и заштити и очувању животне средине.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Ако ученик има изречене васпитне или васпитно-дисциплинске мере, одређен друштвено-користан, односно хуманитарни рад, њихови ефекти се узимају у обзир приликом утврђивања закључне оцене из владања.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3001" w:firstLineChars="125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Оцењивање на испиту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3962" w:firstLineChars="16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16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Оцена на испиту утврђује се већином гласова укупног броја чланова комисије, у складу са законом.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Ученик, његов родитељ, други законски заступник има право да поднесе приговор на оцену на испиту, у складу са Законом.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2641" w:firstLineChars="110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Обавештавање о оцењивању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3482" w:firstLineChars="14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17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На почетку школске године ученици, родитељи, односно други законски заступници обавештавају се о критеријумима, начину, поступку, динамици, распореду оцењивања и доприносу појединачних оцена закључној оцени из свих обавезних предмета, изборних програма и активности.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Ако родитељ, односно други законски заступник не долази на родитељске и индивидуалне састанке, одељењски старешина је дужан да га благовремено, званично, у писменој форми обавести о успеху и оценама, евентуалним тешкоћама и изостанцима ученика и последицама изостајања ученика.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2641" w:firstLineChars="110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Евиденција о успеху ученика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202" w:firstLineChars="17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18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својој педагошкој документацији.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Под педагошком документацијом, у смислу овог правилника, сматра се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3482" w:firstLineChars="1450"/>
        <w:jc w:val="both"/>
        <w:rPr>
          <w:rFonts w:hint="default"/>
          <w:b/>
          <w:bCs w:val="0"/>
          <w:i/>
          <w:iCs/>
        </w:rPr>
      </w:pPr>
      <w:r>
        <w:rPr>
          <w:rFonts w:hint="default"/>
          <w:b/>
          <w:bCs w:val="0"/>
          <w:i/>
          <w:iCs/>
        </w:rPr>
        <w:t>Завршне одредбе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322" w:firstLineChars="180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19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Даном ступања на снагу овог правилника престаје да важи Правилник о оцењивању ученика у основном образовању и васпитању ("Службени гласник РС", број 67/13), осим за ученике који су школске 2019/2020. године трећи, четврти, седми и осми разред.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За ученике из става 1. овог члана примењује се Правилник о оцењивању ученика у основном образовању и васпитању ("Службени гласник РС", број 67/13), до завршетка циклуса образовања и васпитања, изузев одредаба члана 14. ст. 7. и 8. тог правилника.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ind w:firstLine="4922" w:firstLineChars="2050"/>
        <w:jc w:val="both"/>
        <w:rPr>
          <w:rFonts w:hint="default"/>
          <w:b/>
          <w:bCs w:val="0"/>
        </w:rPr>
      </w:pPr>
      <w:r>
        <w:rPr>
          <w:rFonts w:hint="default"/>
          <w:b/>
          <w:bCs w:val="0"/>
        </w:rPr>
        <w:t>Члан 20</w:t>
      </w:r>
    </w:p>
    <w:p>
      <w:pPr>
        <w:spacing w:line="240" w:lineRule="auto"/>
        <w:jc w:val="both"/>
        <w:rPr>
          <w:rFonts w:hint="default"/>
          <w:b w:val="0"/>
          <w:bCs/>
        </w:rPr>
      </w:pPr>
    </w:p>
    <w:p>
      <w:pPr>
        <w:spacing w:line="240" w:lineRule="auto"/>
        <w:jc w:val="both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Овај правилник ступа на снагу осмог дана од дана објављивања у "Службеном гласнику Републике Србије", а примењује се почев од школске 2019/2020. године.</w:t>
      </w:r>
    </w:p>
    <w:p>
      <w:pPr>
        <w:spacing w:line="240" w:lineRule="auto"/>
      </w:pPr>
    </w:p>
    <w:p>
      <w:pPr>
        <w:tabs>
          <w:tab w:val="left" w:pos="5175"/>
        </w:tabs>
        <w:spacing w:after="0" w:line="240" w:lineRule="auto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Председник Школског одбора</w:t>
      </w:r>
    </w:p>
    <w:p>
      <w:pPr>
        <w:tabs>
          <w:tab w:val="left" w:pos="5175"/>
        </w:tabs>
        <w:spacing w:after="0" w:line="240" w:lineRule="auto"/>
        <w:ind w:firstLine="5640" w:firstLineChars="2350"/>
        <w:rPr>
          <w:lang w:val="sr-Cyrl-CS"/>
        </w:rPr>
      </w:pPr>
      <w:r>
        <w:rPr>
          <w:lang w:val="sr-Cyrl-RS"/>
        </w:rPr>
        <w:t>Горица</w:t>
      </w:r>
      <w:r>
        <w:rPr>
          <w:rFonts w:hint="default"/>
          <w:lang w:val="sr-Cyrl-RS"/>
        </w:rPr>
        <w:t xml:space="preserve"> Станојковић</w:t>
      </w:r>
      <w:r>
        <w:rPr>
          <w:lang w:val="sr-Cyrl-CS"/>
        </w:rPr>
        <w:t>_</w:t>
      </w:r>
    </w:p>
    <w:p>
      <w:pPr>
        <w:tabs>
          <w:tab w:val="left" w:pos="5610"/>
        </w:tabs>
        <w:spacing w:after="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 xml:space="preserve"> Зоран Гроздановић</w:t>
      </w: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jc w:val="center"/>
        <w:rPr>
          <w:lang w:val="sr-Cyrl-CS"/>
        </w:rPr>
      </w:pPr>
      <w:r>
        <w:rPr>
          <w:lang w:val="sr-Cyrl-CS"/>
        </w:rPr>
        <w:t>-11-</w:t>
      </w:r>
    </w:p>
    <w:tbl>
      <w:tblPr>
        <w:tblStyle w:val="4"/>
        <w:tblpPr w:leftFromText="141" w:rightFromText="141" w:vertAnchor="page" w:horzAnchor="margin" w:tblpY="2551"/>
        <w:tblW w:w="5000" w:type="pct"/>
        <w:tblCellSpacing w:w="1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A41E1C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A41E1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</w:tcPr>
          <w:p>
            <w:pPr>
              <w:spacing w:before="100" w:beforeAutospacing="1" w:after="100" w:afterAutospacing="1"/>
              <w:jc w:val="center"/>
              <w:outlineLvl w:val="5"/>
              <w:rPr>
                <w:rFonts w:ascii="Arial" w:hAnsi="Arial" w:eastAsia="Times New Roman" w:cs="Arial"/>
                <w:b/>
                <w:bCs/>
                <w:color w:val="FFE8BF"/>
                <w:sz w:val="36"/>
                <w:szCs w:val="36"/>
              </w:rPr>
            </w:pPr>
            <w:r>
              <w:rPr>
                <w:rFonts w:ascii="Arial" w:hAnsi="Arial" w:eastAsia="Times New Roman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>
            <w:pPr>
              <w:spacing w:before="100" w:beforeAutospacing="1" w:after="100" w:afterAutospacing="1"/>
              <w:jc w:val="center"/>
              <w:outlineLvl w:val="5"/>
              <w:rPr>
                <w:rFonts w:ascii="Arial" w:hAnsi="Arial" w:eastAsia="Times New Roman" w:cs="Arial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34"/>
                <w:szCs w:val="34"/>
              </w:rPr>
              <w:t>O OCENJIVANJU UČENIKA U OSNOVNOM OBRAZOVANJU I VASPITANJU</w:t>
            </w:r>
          </w:p>
          <w:p>
            <w:pPr>
              <w:shd w:val="clear" w:color="auto" w:fill="000000"/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i/>
                <w:iCs/>
                <w:color w:val="FFE8BF"/>
                <w:sz w:val="26"/>
                <w:szCs w:val="26"/>
              </w:rPr>
            </w:pPr>
            <w:r>
              <w:rPr>
                <w:rFonts w:ascii="Arial" w:hAnsi="Arial" w:eastAsia="Times New Roman" w:cs="Arial"/>
                <w:i/>
                <w:iCs/>
                <w:color w:val="FFE8BF"/>
                <w:sz w:val="26"/>
                <w:szCs w:val="26"/>
              </w:rPr>
              <w:t>("Sl. glasnik RS", br. 74/2011)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A41E1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tblCellSpacing w:w="15" w:type="dxa"/>
        </w:trPr>
        <w:tc>
          <w:tcPr>
            <w:tcW w:w="0" w:type="auto"/>
            <w:vMerge w:val="continue"/>
            <w:shd w:val="clear" w:color="auto" w:fill="A41E1C"/>
            <w:vAlign w:val="center"/>
          </w:tcPr>
          <w:p>
            <w:pPr>
              <w:spacing w:before="0" w:after="0"/>
              <w:jc w:val="left"/>
              <w:rPr>
                <w:rFonts w:ascii="Arial" w:hAnsi="Arial" w:eastAsia="Times New Roman" w:cs="Arial"/>
                <w:i/>
                <w:iCs/>
                <w:color w:val="FFE8BF"/>
                <w:sz w:val="26"/>
                <w:szCs w:val="26"/>
              </w:rPr>
            </w:pPr>
          </w:p>
        </w:tc>
      </w:tr>
    </w:tbl>
    <w:p>
      <w:pPr>
        <w:jc w:val="center"/>
        <w:rPr>
          <w:rFonts w:ascii="Arial" w:hAnsi="Arial" w:eastAsia="Times New Roman" w:cs="Arial"/>
          <w:b/>
          <w:bCs/>
          <w:lang w:val="sr-Cyrl-CS"/>
        </w:rPr>
      </w:pPr>
    </w:p>
    <w:p>
      <w:pPr>
        <w:jc w:val="center"/>
        <w:rPr>
          <w:rFonts w:ascii="Arial" w:hAnsi="Arial" w:eastAsia="Times New Roman" w:cs="Arial"/>
          <w:b/>
          <w:bCs/>
          <w:lang w:val="sr-Cyrl-CS"/>
        </w:rPr>
      </w:pPr>
    </w:p>
    <w:p>
      <w:pPr>
        <w:jc w:val="center"/>
        <w:rPr>
          <w:rFonts w:ascii="Arial" w:hAnsi="Arial" w:eastAsia="Times New Roman" w:cs="Arial"/>
          <w:b/>
          <w:bCs/>
          <w:lang w:val="sr-Cyrl-CS"/>
        </w:rPr>
      </w:pPr>
    </w:p>
    <w:p>
      <w:pPr>
        <w:jc w:val="center"/>
        <w:rPr>
          <w:rFonts w:ascii="Arial" w:hAnsi="Arial" w:eastAsia="Times New Roman" w:cs="Arial"/>
          <w:b/>
          <w:bCs/>
          <w:lang w:val="sr-Cyrl-CS"/>
        </w:rPr>
      </w:pPr>
    </w:p>
    <w:p>
      <w:pPr>
        <w:jc w:val="center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t xml:space="preserve">Predmet Pravilnika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1" w:name="clan_1"/>
      <w:bookmarkEnd w:id="1"/>
      <w:r>
        <w:rPr>
          <w:rFonts w:ascii="Arial" w:hAnsi="Arial" w:eastAsia="Times New Roman" w:cs="Arial"/>
          <w:b/>
          <w:bCs/>
        </w:rPr>
        <w:t xml:space="preserve">Član 1 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Ovim pravilnikom utvrđuju se način, postupak i kriterijumi ocenjivanja uspeha iz pojedinačnih nastavnih predmeta i vladanja i druga pitanja od značaja za ocenjivanje učenika i odraslih u osnovnom obrazovanju i vaspitanju (u daljem tekstu: učenik). 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Termini izraženi u ovom pravilniku u gramatičkom muškom rodu podrazumevaju prirodni muški i ženski rod lica na koje se odnose.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2" w:name="str_2"/>
      <w:bookmarkEnd w:id="2"/>
      <w:r>
        <w:rPr>
          <w:rFonts w:ascii="Arial" w:hAnsi="Arial" w:eastAsia="Times New Roman" w:cs="Arial"/>
          <w:b/>
          <w:bCs/>
        </w:rPr>
        <w:t xml:space="preserve">Svrha i principi ocenjivanja učenika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3" w:name="clan_2"/>
      <w:bookmarkEnd w:id="3"/>
      <w:r>
        <w:rPr>
          <w:rFonts w:ascii="Arial" w:hAnsi="Arial" w:eastAsia="Times New Roman" w:cs="Arial"/>
          <w:b/>
          <w:bCs/>
        </w:rPr>
        <w:t xml:space="preserve">Član 2 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Ocenjivanje je sastavni deo procesa nastave i učenja kojim se obezbeđuje stalno praćenje ostvarivanja propisanih ciljeva, ishoda i standarda postignuća učenika u toku savladavanja školskog programa.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Ocenjivanje je kontinuirana pedagoška aktivnost kojom se iskazuje odnos prema učenju i znanju, podstiče motivacija za učenje i učenik osposobljava za objektivnu procenu sopstvenih postignuća i postignuća drugih učenika i razvija sistem vrednosti.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Ocenjivanjem se obezbeđuje poštovanje opštih principa sistema obrazovanja i vaspitanja utvrđenih zakonom kojim se uređuju osnove sistema obrazovanja i vaspitanja (u daljem tekstu: Zakon). 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Ocenjivanjem se obezbeđuju: objektivnost u ocenjivanju prema utvrđenim kriterijumima, ocenjivanje onog što je relevantno, korišćenje raznovrsnih metoda i tehnika ocenjivanja, instruktivnost u davanju povratne informacije, javnost ocenjivanja, pravičnost u ocenjivanju, redovnost i blagovremenost ocenjivanja, ocenjivanje bez diskriminacije i izdvajanja po bilo kom osnovu, uvažavanje individualnih razlika, potreba, uzrasta, prethodnih postignuća učenika i trenutnih uslova u kojima se ocenjivanje odvija.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4" w:name="str_3"/>
      <w:bookmarkEnd w:id="4"/>
      <w:r>
        <w:rPr>
          <w:rFonts w:ascii="Arial" w:hAnsi="Arial" w:eastAsia="Times New Roman" w:cs="Arial"/>
          <w:b/>
          <w:bCs/>
        </w:rPr>
        <w:t xml:space="preserve">Predmet i vrste ocenjivanja učenika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5" w:name="clan_3"/>
      <w:bookmarkEnd w:id="5"/>
      <w:r>
        <w:rPr>
          <w:rFonts w:ascii="Arial" w:hAnsi="Arial" w:eastAsia="Times New Roman" w:cs="Arial"/>
          <w:b/>
          <w:bCs/>
        </w:rPr>
        <w:t xml:space="preserve">Član 3 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 se ocenjuje iz nastavnog predmeta sa i bez modula (u daljem tekstu: predmet) i vladanja, u skladu sa Zakonom, posebnim zakonom i ovim pravilnikom. 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Ocena je opisna i brojčana.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Praćenje razvoja, napredovanja i ostvarenosti postignuća učenika u toku školske godine obavlja se formativnim i sumativnim ocenjivanjem.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Formativno ocenjivanje, u smislu ovog pravilnika, jeste redovno proveravanje postignuća i praćenje vladanja učenika u toku savladavanja školskog programa, sadrži povratnu informaciju i preporuke za dalje napredovanje i, po pravilu, evidentira se u pedagoškoj dokumentaciji nastavnika, u skladu sa ovim pravilnikom. </w:t>
      </w:r>
    </w:p>
    <w:p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Sumativno ocenjivanje, u smislu ovog pravilnika, jeste vrednovanje postignuća učenika na kraju programske celine ili za klasifikacioni period iz predmeta sa i bez modula i vladanja. Ocene dobijene sumativnim ocenjivanjem su, po pravilu, brojčane i unose se u propisanu evidenciju o obrazovno-vaspitnom radu (u daljem tekstu: dnevnik).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6" w:name="str_4"/>
      <w:bookmarkEnd w:id="6"/>
      <w:r>
        <w:rPr>
          <w:rFonts w:ascii="Arial" w:hAnsi="Arial" w:eastAsia="Times New Roman" w:cs="Arial"/>
          <w:b/>
          <w:bCs/>
        </w:rPr>
        <w:t xml:space="preserve">Ocena učenika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7" w:name="clan_4"/>
      <w:bookmarkEnd w:id="7"/>
      <w:r>
        <w:rPr>
          <w:rFonts w:ascii="Arial" w:hAnsi="Arial" w:eastAsia="Times New Roman" w:cs="Arial"/>
          <w:b/>
          <w:bCs/>
        </w:rPr>
        <w:t xml:space="preserve">Član 4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Ocena predstavlja objektivnu i pouzdanu meru napredovanja i razvoja učenika i pokazatelj je kvaliteta i efikasnosti rada nastavnika i škole u ostvarivanju propisanih ciljeva, ishoda i standarda postignuća.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Ocena je javna i saopštava se učeniku odmah, sa obrazloženjem.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Opisnom ocenom izražava se: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1) ostvarenost ciljeva, opštih i posebnih, odnosno prilagođenih standarda postignuća u toku savladavanja školskog programa;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2) angažovanje učenika u nastavi;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3) napredovanje u odnosu na prethodni period;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4) preporuka za dalje napredovanje učenika.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Brojčanom ocenom izražava se: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1) stepen ostvarenosti ciljeva, opštih i posebnih, odnosno prilagođenih standarda postignuća u toku savladavanja školskog programa;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2) angažovanje učenika u nastavi.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Brojčane ocene su: odličan (5), vrlo dobar (4), dobar (3), dovoljan (2) i nedovoljan (1).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 zavisnosti od predmeta, modula i uzrasta učenika prilikom ocenjivanja iz stava 3. tačka 1) i stava 4. tačka 1) ovog člana, procenjuju se: veštine izražavanja i saopštavanja; razumevanje, primena i vrednovanje naučenih postupaka i procedura; rad sa podacima i rad na različitim vrstama tekstova; umetničko izražavanje; veštine, rukovanje priborom, alatom i tehnologijama i izvođenje radnih zadataka (u daljem tekstu: Okvir za procenu rezultata učenja).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Okvir za procenu rezultata učenja odštampan je uz ovaj pravilnik i čini njegov sastavni deo.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Angažovanje učenika obuhvata: odgovoran odnos prema radu, postavljenim zadacima, aktivno učestvovanje u nastavi, saradnju sa drugima i iskazano interesovanje i motivaciju.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Učeniku se ne može umanjiti ocena iz nastavnog predmeta zbog odnosa učenika prema vannastavnim aktivnostima ili neprimerenog ponašanja u školi.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8" w:name="clan_5"/>
      <w:bookmarkEnd w:id="8"/>
      <w:r>
        <w:rPr>
          <w:rFonts w:ascii="Arial" w:hAnsi="Arial" w:eastAsia="Times New Roman" w:cs="Arial"/>
          <w:b/>
          <w:bCs/>
        </w:rPr>
        <w:t xml:space="preserve">Član 5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Ocenjivanje iz predmeta koji zahtevaju posebne sposobnosti učenika (muzička i likovna kultura, fizičko vaspitanje), obavlja se polazeći od njegovih sposobnosti, stepena spretnosti i umešnosti. Ukoliko učenik nema razvijene posebne sposobnosti, prilikom ocenjivanja uzima se u obzir individualno napredovanje u odnosu na sopstvena prethodna postignuća, mogućnosti i angažovanje učenika u nastavnom procesu.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9" w:name="clan_6"/>
      <w:bookmarkEnd w:id="9"/>
      <w:r>
        <w:rPr>
          <w:rFonts w:ascii="Arial" w:hAnsi="Arial" w:eastAsia="Times New Roman" w:cs="Arial"/>
          <w:b/>
          <w:bCs/>
        </w:rPr>
        <w:t xml:space="preserve">Član 6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Učeniku sa izuzetnim sposobnostima koji stiče obrazovanje i vaspitanje na prilagođen i obogaćen način primenom individualnog obrazovnog plana, ne prilagođavaju se standardi postignuća.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 iz stava 1.ovog člana ocenjuje se na osnovu praćenja ostvarivanja propisanih ciljeva, opštih i posebnih standarda postignuća i angažovanja.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10" w:name="clan_7"/>
      <w:bookmarkEnd w:id="10"/>
      <w:r>
        <w:rPr>
          <w:rFonts w:ascii="Arial" w:hAnsi="Arial" w:eastAsia="Times New Roman" w:cs="Arial"/>
          <w:b/>
          <w:bCs/>
        </w:rPr>
        <w:t xml:space="preserve">Član 7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 kome je usled socijalne uskraćenosti, smetnji u razvoju, invaliditeta, teškoća u učenju i drugih razloga potrebna dodatna podrška u obrazovanju i vaspitanju ocenjuje se na osnovu ostvarenosti ciljeva i standarda postignuća u toku savladavanja individualnog obrazovnog plana.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 iz stava 1.ovog člana koji stiče obrazovanje i vaspitanje bez prilagođenih standarda postignuća ocenjuje se na osnovu njegovog angažovanja i stepena ostvarenosti ciljeva i posebnih standarda postignuća, na način koji uzima u obzir njegove jezičke, motoričke i čulne mogućnosti.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 iz stava 1.ovog člana koji stiče obrazovanje i vaspitanje po prilagođenim standardima postignuća, ocenjuje se na osnovu njegovog angažovanja i stepena ostvarenosti ciljeva i prilagođenih standarda postignuća.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11" w:name="clan_8"/>
      <w:bookmarkEnd w:id="11"/>
      <w:r>
        <w:rPr>
          <w:rFonts w:ascii="Arial" w:hAnsi="Arial" w:eastAsia="Times New Roman" w:cs="Arial"/>
          <w:b/>
          <w:bCs/>
        </w:rPr>
        <w:t xml:space="preserve">Član 8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Iz nastavnih predmeta Verska nastava i Građansko vaspitanje učenik se ocenjuje opisno na osnovu procena ostvarenih postignuća i zapažanja o načinu angažovanja učenika u toku nastave.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Opisna ocena sadrži preporuke za dalje napredovanje.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12" w:name="str_5"/>
      <w:bookmarkEnd w:id="12"/>
      <w:r>
        <w:rPr>
          <w:rFonts w:ascii="Arial" w:hAnsi="Arial" w:eastAsia="Times New Roman" w:cs="Arial"/>
          <w:b/>
          <w:bCs/>
        </w:rPr>
        <w:t xml:space="preserve">Kriterijumi brojčanog ocenjivanja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13" w:name="clan_9"/>
      <w:bookmarkEnd w:id="13"/>
      <w:r>
        <w:rPr>
          <w:rFonts w:ascii="Arial" w:hAnsi="Arial" w:eastAsia="Times New Roman" w:cs="Arial"/>
          <w:b/>
          <w:bCs/>
        </w:rPr>
        <w:t xml:space="preserve">Član 9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Brojčano ocenjivanje uspeha učenika iz predmeta i modula obavlja se na osnovu sledećih kriterijuma: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1) učenik koji ostvaruje veoma značajan napredak u savladavanju školskog programa i u dostizanju zahteva koji su utvrđeni na osnovnom i srednjem nivou posebnih standarda postignuća, kao i većinu zahteva sa naprednog nivoa posebnih standarda postignuća, odnosno zahteva koji su određeni individualnim obrazovnim planom i prilagođenim standardima postignuća, uz veoma visok stepen angažovanja, dobija ocenu odličan (5);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2) učenik koji ostvaruje značajan napredak u savladavanju školskog programa i u dostizanju zahteva koji su utvrđeni na osnovnom i srednjem nivou posebnih standarda postignuća, kao i deo zahteva sa naprednog nivoa posebnih standarda postignuća, odnosno zahteva koji su određeni individualnim obrazovnim planom i prilagođenim standardima postignuća, uz visok stepen angažovanja, dobija ocenu vrlo dobar (4);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3) učenik koji ostvaruje napredak u savladavanju školskog programa i u dostizanju zahteva koji su utvrđeni na osnovnom i veći deo na srednjem nivou posebnih standarda postignuća, odnosno zahteva koji su određeni individualnim obrazovnim planom i prilagođenim standardima postignuća, uz angažovanje učenika i pomoć nastavnika, dobija ocenu dobar (3);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4) učenik koji ostvaruje minimalan napredak u savladavanju školskog programa i u dostizanju zahteva koji su utvrđeni u većem delu osnovnog nivoa postignuća, odnosno zahteva koji su određeni individualnim obrazovnim planom i prilagođenim standardima postignuća, uz značajnu pomoć nastavnika i angažovanje učenika, dobija ocenu dovoljan (2);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5) učenik koji, ni uz pomoć nastavnika, ne ostvaruje minimalan napredak u savladavanju školskog programa i u dostizanju zahteva koji su utvrđeni na osnovnom nivou postignuća, dobija ocenu nedovoljan (1).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Učeniku koji stiče obrazovanje i vaspitanje po individualnom obrazovnom planu, a ne dostiže zahteve po prilagođenim standardima postignuća revidira se individualni obrazovni plan.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14" w:name="str_6"/>
      <w:bookmarkEnd w:id="14"/>
      <w:r>
        <w:rPr>
          <w:rFonts w:ascii="Arial" w:hAnsi="Arial" w:eastAsia="Times New Roman" w:cs="Arial"/>
          <w:b/>
          <w:bCs/>
        </w:rPr>
        <w:t xml:space="preserve">Način i postupak ocenjivanja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15" w:name="clan_10"/>
      <w:bookmarkEnd w:id="15"/>
      <w:r>
        <w:rPr>
          <w:rFonts w:ascii="Arial" w:hAnsi="Arial" w:eastAsia="Times New Roman" w:cs="Arial"/>
          <w:b/>
          <w:bCs/>
        </w:rPr>
        <w:t xml:space="preserve">Član 10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Na početku školske godine nastavnik procenjuje prethodna postignuća učenika u okviru određene oblasti, predmeta, modula ili teme, koja su od značaja za predmet (u daljem tekstu: inicijalno procenjivanje).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Rezultat inicijalnog procenjivanja ne ocenjuje se i služi za planiranje rada nastavnika i dalje praćenje napredovanja učenika.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16" w:name="clan_11"/>
      <w:bookmarkEnd w:id="16"/>
      <w:r>
        <w:rPr>
          <w:rFonts w:ascii="Arial" w:hAnsi="Arial" w:eastAsia="Times New Roman" w:cs="Arial"/>
          <w:b/>
          <w:bCs/>
        </w:rPr>
        <w:t xml:space="preserve">Član 11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 se ocenjuje na osnovu usmene provere postignuća, pismene provere postignuća i praktičnog rada, a u skladu sa programom nastavnog predmeta.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 se ocenjuje i na osnovu aktivnosti i njegovih rezultata rada, a naročito: izlaganja i predstavljanja (izložba radova, rezultati istraživanja, modeli, crteži, posteri, dizajnerska rešenja i dr), učešća u debati i diskusiji, pisanja eseja, domaćih zadataka, učešća u različitim oblicima grupnog rada, rada na projektima, zbirke odabranih učenikovih produkata rada - portfolija, u skladu sa programom nastavnog predmeta.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Postignuće učenika iz praktičnog rada, ogleda, laboratorijske i druge vežbe, umetničkog nastupa i sportske aktivnosti ocenjuje se na osnovu primene učenikovog znanja, samostalnosti, pokazanih veština u korišćenju materijala, alata, instrumenata i drugih pomagala u izvođenju zadatka, kao i primene mera zaštite i bezbednosti prema sebi, drugima i okolini, u skladu sa programom nastavnog predmeta.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17" w:name="clan_12"/>
      <w:bookmarkEnd w:id="17"/>
      <w:r>
        <w:rPr>
          <w:rFonts w:ascii="Arial" w:hAnsi="Arial" w:eastAsia="Times New Roman" w:cs="Arial"/>
          <w:b/>
          <w:bCs/>
        </w:rPr>
        <w:t xml:space="preserve">Član 12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Raspored pismenih zadataka i pismenih provera dužih od 15 minuta upisuje se u dnevnik i objavljuje se za svako odeljenje na oglasnoj tabli škole, odnosno na veb stranici škole najkasnije do kraja treće nastavne nedelje u svakom polugodištu.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Rasporedom iz stava 1.ovog člana može da se planira najviše jedna provera u danu, a dve u nastavnoj nedelji.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Raspored iz stava 1.ovog člana i promene rasporeda utvrđuje direktor na predlog odeljenjskog veća.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18" w:name="clan_13"/>
      <w:bookmarkEnd w:id="18"/>
      <w:r>
        <w:rPr>
          <w:rFonts w:ascii="Arial" w:hAnsi="Arial" w:eastAsia="Times New Roman" w:cs="Arial"/>
          <w:b/>
          <w:bCs/>
        </w:rPr>
        <w:t xml:space="preserve">Član 13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Provera postignuća učenika obavlja se na svakom času.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Usmene provere i pismene provere postignuća u trajanju do 15 minuta obavljaju se bez najave.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 u toku časa može da bude samo jedanput ocenjen za usmenu ili pismenu proveru postignuća.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Nastavnik je dužan da obavesti učenike o nastavnim sadržajima koji će se pismeno proveravati prema rasporedu iz člana 12. stav 1. ovog pravilnika, najkasnije pet dana pre provere.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Ocena iz pismene provere postignuća upisuje se u dnevnik u roku od osam dana od dana provere.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Ako nakon pismene provere postignuća više od polovine učenika jednog odeljenja dobije nedovoljnu ocenu, pismena provera se poništava za te učenike.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Nakon poništene pismene provere postignuća iz stava 6.ovog člana, a pre organizovanja ponovljene, nastavnik je dužan da održi dopunsku nastavu, odnosno dopunski rad.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19" w:name="str_7"/>
      <w:bookmarkEnd w:id="19"/>
      <w:r>
        <w:rPr>
          <w:rFonts w:ascii="Arial" w:hAnsi="Arial" w:eastAsia="Times New Roman" w:cs="Arial"/>
          <w:b/>
          <w:bCs/>
        </w:rPr>
        <w:t xml:space="preserve">Zaključna ocena iz predmeta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20" w:name="clan_14"/>
      <w:bookmarkEnd w:id="20"/>
      <w:r>
        <w:rPr>
          <w:rFonts w:ascii="Arial" w:hAnsi="Arial" w:eastAsia="Times New Roman" w:cs="Arial"/>
          <w:b/>
          <w:bCs/>
        </w:rPr>
        <w:t xml:space="preserve">Član 14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 prvom razredu osnovnog obrazovanja i vaspitanja zaključna ocena iz obaveznih, obaveznih izbornih, izbornih i fakultativnih nastavnih predmeta jeste opisna i utvrđuje se na kraju prvog i drugog polugodišta na osnovu opisnih ocena o razvoju i napredovanju učenika u toku savladavanja školskog programa.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U ostalim razredima osnovnog obrazovanja i vaspitanja zaključna ocena iz predmeta je brojčana, osim iz predmeta Verska nastava i Građansko vaspitanje.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Zaključna ocena iz predmeta Verska nastava i Građansko vaspitanje je: ističe se, dobar i zadovoljava.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Zaključnu ocenu iz predmeta utvrđuje odeljenjsko veće na predlog predmetnog nastavnika, a iz vladanja na predlog odeljenjskog starešine, na kraju prvog i drugog polugodišta.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Zaključna ocena na kraju drugog polugodišta utvrđuje se na osnovu svih opisnih i brojčanih ocena u toku obrazovno-vaspitnog rada, uz sagledavanje razvoja i napredovanja učenika i uvažavanje okolnosti u kojima stiče obrazovanje.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Učeniku koji nema najmanje četiri ocene u toku polugodišta, ne može da se utvrdi zaključna ocena.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Učeniku koji redovno pohađa nastavu i izvršava školske obaveze, a nema propisani broj ocena u polugodištu, nastavnik je obavezan da sprovede ocenjivanje na posebno organizovanom času u toku trajanja polugodišta.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Odeljenjski starešina je u obavezi da redovno prati ocenjivanje učenika i ukazuje predmetnim nastavnicima na broj propisanih ocena koje učenik treba da ima u polugodištu radi utvrđivanja zaključne ocene.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Kada nastavni predmet sadrži module, zaključna ocena se izvodi na osnovu pozitivnih ocena svih modula u okviru predmeta.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Zaključna ocena za uspeh iz predmeta ne može biti veća od najveće periodične ocene dobijene bilo kojom tehnikom provere znanja niti manja od aritmetičke sredine svih ocena.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Ako odeljenjsko veće ne prihvati predlog zaključne ocene predmetnog nastavnika, ono utvrđuje novu ocenu glasanjem.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Utvrđena ocena iz stava 11.ovog člana evidentira se u napomeni, a u zapisniku sa odeljenjskog veća šire obrazlaže.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Zaključna ocena utvrđena na odeljenjskom veću upisuje se u knjigu evidencije obrazovno-vaspitnog rada u predviđenu rubriku.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21" w:name="str_8"/>
      <w:bookmarkEnd w:id="21"/>
      <w:r>
        <w:rPr>
          <w:rFonts w:ascii="Arial" w:hAnsi="Arial" w:eastAsia="Times New Roman" w:cs="Arial"/>
          <w:b/>
          <w:bCs/>
        </w:rPr>
        <w:t xml:space="preserve">Ocenjivanje vladanja učenika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22" w:name="clan_15"/>
      <w:bookmarkEnd w:id="22"/>
      <w:r>
        <w:rPr>
          <w:rFonts w:ascii="Arial" w:hAnsi="Arial" w:eastAsia="Times New Roman" w:cs="Arial"/>
          <w:b/>
          <w:bCs/>
        </w:rPr>
        <w:t xml:space="preserve">Član 15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Vladanje učenika od prvog do petog razreda osnovnog obrazovanja i vaspitanja ocenjuje se opisno u toku i na kraju polugodišta.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Zaključna ocena iz vladanja učenika iz stava 1.ovog člana jeste: primerno; vrlo dobro; dobro; zadovoljavajuće i nezadovoljavajuće, i ne utiče na opšti uspeh učenika.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Vladanje učenika od šestog do osmog razreda osnovnog obrazovanja i vaspitanja ocenjuje se opisno u toku polugodišta.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Zaključna ocena iz vladanja iz stava 3.ovog člana jeste brojčana, i to: primerno (5), vrlo dobro (4), dobro (3), zadovoljavajuće (2) i nezadovoljavajuće (1), i utiče na opšti uspeh učenika.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Vladanje polaznika ne ocenjuje se.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Prilikom ocenjivanja vladanja sagledava se ponašanje učenika u celini.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Na ocenu iz vladanja ne utiču ocene iz nastavnih predmeta.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Ocena iz vladanja smanjuje se zbog izrečene vaspitno-disciplinske mere, a može da se smanji zbog ponašanja za koje je izrečena vaspitna mera.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Ocena iz vladanja popravlja se na predlog odeljenskog starešine najkasnije na kraju klasifikacionog perioda, odnosno polugodišta kada učenik: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1) pokazuje pozitivne promene u svom ponašanju;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2) prihvata odgovornost za svoje postupke i koriguje svoje ponašanje nakon ukazivanja na neprimereno ponašanje, nakon izrečene vaspitne, odnosno vaspitno-disciplinske mere;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3) koriguje svoje ponašanje kroz pojačani vaspitni rad.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23" w:name="str_9"/>
      <w:bookmarkEnd w:id="23"/>
      <w:r>
        <w:rPr>
          <w:rFonts w:ascii="Arial" w:hAnsi="Arial" w:eastAsia="Times New Roman" w:cs="Arial"/>
          <w:b/>
          <w:bCs/>
        </w:rPr>
        <w:t xml:space="preserve">Opisna ocena iz vladanja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24" w:name="clan_16"/>
      <w:bookmarkEnd w:id="24"/>
      <w:r>
        <w:rPr>
          <w:rFonts w:ascii="Arial" w:hAnsi="Arial" w:eastAsia="Times New Roman" w:cs="Arial"/>
          <w:b/>
          <w:bCs/>
        </w:rPr>
        <w:t xml:space="preserve">Član 16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Ocena iz vladanja učenika u toku polugodišta izražava se opisom učenikovog odnosa prema obavezama i pravilima ponašanja i merama bezbednosti u školi, ponašanja prema drugim učenicima, zaposlenima i imovini.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Ocena iz stava 1.ovog člana sadrži i vaspitnu preporuku.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Opis učenikovog vladanja može da se izrazi sa: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1) ističe se u izvršavanju svih svojih obaveza u školi i predstavlja primer drugima svojim odnosom prema učenicima, zaposlenima, imovini;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2) uglavnom izvršava sve svoje obaveze u školi i ima najčešće korektan odnos prema učenicima, zaposlenima i imovini;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3) delimično izvršava svoje obaveze i ponekad se neprimereno odnosi prema učenicima, zaposlenima i imovini;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4) uglavnom ne izvršava svoje obaveze i često ima neprimeren odnos prema učenicima, zaposlenima i imovini;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5) ne ispunjava svoje obaveze u školi i najčešće ima neprimeren odnos prema učenicima, zaposlenima i imovini.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25" w:name="str_10"/>
      <w:bookmarkEnd w:id="25"/>
      <w:r>
        <w:rPr>
          <w:rFonts w:ascii="Arial" w:hAnsi="Arial" w:eastAsia="Times New Roman" w:cs="Arial"/>
          <w:b/>
          <w:bCs/>
        </w:rPr>
        <w:t xml:space="preserve">Zaključna ocena iz vladanja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26" w:name="clan_17"/>
      <w:bookmarkEnd w:id="26"/>
      <w:r>
        <w:rPr>
          <w:rFonts w:ascii="Arial" w:hAnsi="Arial" w:eastAsia="Times New Roman" w:cs="Arial"/>
          <w:b/>
          <w:bCs/>
        </w:rPr>
        <w:t xml:space="preserve">Član 17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Zaključna ocena iz vladanja iz člana 15.stav 4. ovog pravilnika, utvrđuje se na osnovu sagledavanja ličnosti i ponašanja učenika u celini, procenjivanjem njegovog ukupnog ponašanja i izvršavanja obaveza propisanih zakonom i izrečenih vaspitnih ili vaspitno-disciplinskih mera i njihovih efekata, a naročito na osnovu odnosa prema: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1) školskim obavezama;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2) drugim učenicima;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3) zaposlenima škole i drugih organizacija u kojima se ostvaruje obrazovno-vaspitni rad;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4) izrečenoj vaspitnoj ili vaspitno-disciplinskoj meri;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5) školskoj imovini, imovini drugih lica ili organizacija u kojima se ostvaruje nastava ili pojedini oblici obrazovno-vaspitnog rada (u daljem tekstu: školska imovina i imovina drugih) i zaštiti i očuvanju životne sredine.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Kriterijumi za ocenjivanje vladanja odštampani su uz ovaj pravilnik i čine njegov sastavni deo.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27" w:name="str_11"/>
      <w:bookmarkEnd w:id="27"/>
      <w:r>
        <w:rPr>
          <w:rFonts w:ascii="Arial" w:hAnsi="Arial" w:eastAsia="Times New Roman" w:cs="Arial"/>
          <w:b/>
          <w:bCs/>
        </w:rPr>
        <w:t xml:space="preserve">Ocenjivanje na ispitu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28" w:name="clan_18"/>
      <w:bookmarkEnd w:id="28"/>
      <w:r>
        <w:rPr>
          <w:rFonts w:ascii="Arial" w:hAnsi="Arial" w:eastAsia="Times New Roman" w:cs="Arial"/>
          <w:b/>
          <w:bCs/>
        </w:rPr>
        <w:t xml:space="preserve">Član 18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Ocena na ispitu utvrđuje se većinom glasova ukupnog broja članova komisije, u skladu sa Zakonom.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29" w:name="str_12"/>
      <w:bookmarkEnd w:id="29"/>
      <w:r>
        <w:rPr>
          <w:rFonts w:ascii="Arial" w:hAnsi="Arial" w:eastAsia="Times New Roman" w:cs="Arial"/>
          <w:b/>
          <w:bCs/>
        </w:rPr>
        <w:t xml:space="preserve">Opšti uspeh učenika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30" w:name="clan_19"/>
      <w:bookmarkEnd w:id="30"/>
      <w:r>
        <w:rPr>
          <w:rFonts w:ascii="Arial" w:hAnsi="Arial" w:eastAsia="Times New Roman" w:cs="Arial"/>
          <w:b/>
          <w:bCs/>
        </w:rPr>
        <w:t xml:space="preserve">Član 19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Na kraju prvog i drugog polugodišta prvog razreda nastavnik daje mišljenje o radu i napredovanju učenika.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Mišljenje sadrži: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1) opis stepena ostvarenosti ciljeva, opštih i posebnih, odnosno prilagođenih standarda postignuća;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2) opšti opis kvaliteta postignuća;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3) opis učenikovih mogućnosti i potreba u podizanju nivoa postignuća u pojedinim zadacima u daljem učenju;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4) zapažanja o razvoju učenika i preporukama za dalje napredovanje.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Mišljenje se unosi u đačku knjižicu.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Opšti uspeh učenika od drugog do osmog razreda utvrđuje se na kraju prvog i drugog polugodišta, odnosno školske godine na osnovu aritmetičke sredine pozitivnih zaključnih brojčanih ocena iz obaveznih predmeta, obaveznih izbornih predmeta i iz vladanja, počev od šestog razreda.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Opšti uspeh ne utvrđuje se učeniku iz stava 4.ovog člana koji ima nedovoljnu ocenu ili je neocenjen iz nastavnog predmeta.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Opisna ocena iz nastavnog predmeta ne utiče na opšti uspeh učenika.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Roditelj je dužan da svojim potpisom potvrdi da je upoznat sa mišljenjem, odnosno uspehom učenika.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31" w:name="str_13"/>
      <w:bookmarkEnd w:id="31"/>
      <w:r>
        <w:rPr>
          <w:rFonts w:ascii="Arial" w:hAnsi="Arial" w:eastAsia="Times New Roman" w:cs="Arial"/>
          <w:b/>
          <w:bCs/>
        </w:rPr>
        <w:t xml:space="preserve">Obaveštavanje o ocenjivanju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32" w:name="clan_20"/>
      <w:bookmarkEnd w:id="32"/>
      <w:r>
        <w:rPr>
          <w:rFonts w:ascii="Arial" w:hAnsi="Arial" w:eastAsia="Times New Roman" w:cs="Arial"/>
          <w:b/>
          <w:bCs/>
        </w:rPr>
        <w:t xml:space="preserve">Član 20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Na početku školske godine učenici, roditelji, odnosno staratelji se obaveštavaju o kriterijumima, načinu, postupku, dinamici, rasporedu ocenjivanja i doprinosu pojedinačnih ocena zaključnoj oceni.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Odeljenjski starešina je obavezan da blagovremeno, a najmanje četiri puta u toku školske godine, na primeren način obaveštava roditelje o postignućima učenika, napredovanju, motivaciji za učenje, vladanju i drugim pitanjima od značaja za obrazovanje i vaspitanje.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Ako roditelj, odnosno staratelj ne dolazi na roditeljske i individualne sastanke, odeljenjski starešina je dužan da ga blagovremeno u pismenoj formi obavesti o uspehu i ocenama, eventualnim teškoćama i izostancima učenika i posledicama izostajanja učenika.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Roditelj, odnosno staratelj, ima pravo uvida u ocenjenu pismenu proveru postignuća ili produkt učenikovog rada.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33" w:name="str_14"/>
      <w:bookmarkEnd w:id="33"/>
      <w:r>
        <w:rPr>
          <w:rFonts w:ascii="Arial" w:hAnsi="Arial" w:eastAsia="Times New Roman" w:cs="Arial"/>
          <w:b/>
          <w:bCs/>
        </w:rPr>
        <w:t xml:space="preserve">Evidencija o uspehu učenika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34" w:name="clan_21"/>
      <w:bookmarkEnd w:id="34"/>
      <w:r>
        <w:rPr>
          <w:rFonts w:ascii="Arial" w:hAnsi="Arial" w:eastAsia="Times New Roman" w:cs="Arial"/>
          <w:b/>
          <w:bCs/>
        </w:rPr>
        <w:t xml:space="preserve">Član 21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Nastavnik u postupku ocenjivanja prikuplja i beleži podatke o postignućima učenika, procesu učenja, napredovanju i razvoju učenika tokom godine u propisanoj evidenciji i svojoj pedagoškoj dokumentaciji.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Pod pedagoškom dokumentacijom, u smislu ovog pravilnika, smatra se pisana dokumentacija nastavnika koja sadrži: lične podatke o učeniku i njegovim individualnim svojstvima koja su od značaja za postignuće, podatke o proveri postignuća, angažovanju učenika i napredovanju, datim preporukama, ponašanju učenika i druge podatke od značaja za rad sa učenikom i njegovo napredovanje. </w:t>
      </w:r>
    </w:p>
    <w:p>
      <w:pPr>
        <w:jc w:val="center"/>
        <w:rPr>
          <w:rFonts w:ascii="Arial" w:hAnsi="Arial" w:eastAsia="Times New Roman" w:cs="Arial"/>
          <w:b/>
          <w:bCs/>
        </w:rPr>
      </w:pPr>
      <w:bookmarkStart w:id="35" w:name="str_15"/>
      <w:bookmarkEnd w:id="35"/>
      <w:r>
        <w:rPr>
          <w:rFonts w:ascii="Arial" w:hAnsi="Arial" w:eastAsia="Times New Roman" w:cs="Arial"/>
          <w:b/>
          <w:bCs/>
        </w:rPr>
        <w:t xml:space="preserve">Završne odredbe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36" w:name="clan_22"/>
      <w:bookmarkEnd w:id="36"/>
      <w:r>
        <w:rPr>
          <w:rFonts w:ascii="Arial" w:hAnsi="Arial" w:eastAsia="Times New Roman" w:cs="Arial"/>
          <w:b/>
          <w:bCs/>
        </w:rPr>
        <w:t xml:space="preserve">Član 22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Danom stupanja na snagu ovog pravilnika prestaje da važi Pravilnik o ocenjivanju učenika osnovne škole ("Službeni glasnik RS", br. 93/04 i 92/05). </w:t>
      </w:r>
    </w:p>
    <w:p>
      <w:pPr>
        <w:spacing w:after="120"/>
        <w:jc w:val="center"/>
        <w:rPr>
          <w:rFonts w:ascii="Arial" w:hAnsi="Arial" w:eastAsia="Times New Roman" w:cs="Arial"/>
          <w:b/>
          <w:bCs/>
        </w:rPr>
      </w:pPr>
      <w:bookmarkStart w:id="37" w:name="clan_23"/>
      <w:bookmarkEnd w:id="37"/>
      <w:r>
        <w:rPr>
          <w:rFonts w:ascii="Arial" w:hAnsi="Arial" w:eastAsia="Times New Roman" w:cs="Arial"/>
          <w:b/>
          <w:bCs/>
        </w:rPr>
        <w:t xml:space="preserve">Član 23 </w:t>
      </w:r>
    </w:p>
    <w:p>
      <w:pPr>
        <w:spacing w:before="100" w:beforeAutospacing="1" w:after="100" w:afterAutospacing="1"/>
        <w:jc w:val="left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Ovaj pravilnik stupa na snagu osmog dana od dana objavljivanja u "Službenom glasniku Republike Srbije". </w:t>
      </w:r>
    </w:p>
    <w:p>
      <w:pPr>
        <w:spacing w:before="0" w:after="0"/>
        <w:jc w:val="left"/>
        <w:rPr>
          <w:rFonts w:ascii="Arial" w:hAnsi="Arial" w:eastAsia="Times New Roman" w:cs="Arial"/>
          <w:sz w:val="26"/>
          <w:szCs w:val="26"/>
        </w:rPr>
      </w:pPr>
      <w:r>
        <w:rPr>
          <w:rFonts w:ascii="Arial" w:hAnsi="Arial" w:eastAsia="Times New Roman" w:cs="Arial"/>
          <w:sz w:val="26"/>
          <w:szCs w:val="26"/>
        </w:rPr>
        <w:t xml:space="preserve">  </w:t>
      </w:r>
    </w:p>
    <w:p>
      <w:pPr>
        <w:jc w:val="center"/>
        <w:rPr>
          <w:rFonts w:ascii="Arial" w:hAnsi="Arial" w:eastAsia="Times New Roman" w:cs="Arial"/>
          <w:b/>
          <w:bCs/>
          <w:i/>
          <w:iCs/>
        </w:rPr>
      </w:pPr>
      <w:bookmarkStart w:id="38" w:name="str_16"/>
      <w:bookmarkEnd w:id="38"/>
      <w:r>
        <w:rPr>
          <w:rFonts w:ascii="Arial" w:hAnsi="Arial" w:eastAsia="Times New Roman" w:cs="Arial"/>
          <w:b/>
          <w:bCs/>
          <w:i/>
          <w:iCs/>
        </w:rPr>
        <w:t xml:space="preserve">Okvir za procenu rezultata učenja </w:t>
      </w:r>
    </w:p>
    <w:tbl>
      <w:tblPr>
        <w:tblStyle w:val="4"/>
        <w:tblW w:w="5000" w:type="pct"/>
        <w:tblCellSpacing w:w="0" w:type="dxa"/>
        <w:tblInd w:w="0" w:type="dxa"/>
        <w:tblBorders>
          <w:top w:val="inset" w:color="000000" w:sz="6" w:space="0"/>
          <w:left w:val="inset" w:color="000000" w:sz="6" w:space="0"/>
          <w:bottom w:val="inset" w:color="000000" w:sz="6" w:space="0"/>
          <w:right w:val="in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787"/>
        <w:gridCol w:w="1885"/>
        <w:gridCol w:w="1770"/>
        <w:gridCol w:w="1565"/>
        <w:gridCol w:w="1704"/>
      </w:tblGrid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Ocena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Veština izražavanja i saopštavanja (komunikacija)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Razumevanje, primena i vrednovanje naučenih postupaka i procedura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Rad sa podacima i rad na različitim vrstama tekstova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Umetničko izražavanje i razumevanje umetničkih dela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Motoričke veštine, rukovanje priborom, alatom i tehnologijama i izvođenje radnih zadataka 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Ume da se pisano, usmeno i vizuelno izražava na razumljiv i uverljiv način u skladu sa situacijom i zahtevima;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da prilagođava pisano, usmeno i vizuelno izražavanje različitim kontekstima.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Ume da rešava složenije problemske situacije i odredi ograničenja u rešavanju;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da formuliše pretpostavke (hipoteze);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formuliše, upoređuje i vrednuje različite načine dolaženja do rešenja;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primenjuje različite kriterijume razvrstavanja u relativno složenim primerima;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izvodi složenije zaključke i ume da ih obrazloži;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razume, objašnjava i predviđa posledice pojava, procesa i odnosa koji se ispoljavaju u različitim uslovima i situacijama.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Ume kritički da vrednuje date podatke ili izvore;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da izabere, povezuje i vrednuje podatke predstavljene na različite simboličke načine;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da pronalazi, koristi i vrednuje podatke iz različitih izvora i različitih medija i da ih povezuje sa situacijama iz svakodnevnog života.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Ima veoma razvijenu muzičku i likovnu pismenost;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ume da analizira i kritički vrednuje umetnička dela koja su predstavnici različitih stilova i epoha;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da analizira i kritički vrednuje dela koja odstupaju od karakteristika dominantnih pravaca.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Vlada složenim motoričkim veštinama i tehnikama;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rukuje različitim priborom, alatima i razvijenim tehnologijama u celokupnom tehnološkom procesu;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izvršava radne zadatke kompetentno i samostalno, pokazuje inicijativu i prilagođava se novim zahtevima i kontekstu. 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da se pisano, usmeno i vizuelno izražava u skladu sa različitim situacijama i zahtevima.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Poredi i razvrstava sadržaje na osnovu više kriterijuma istovremeno;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ume da primeni postupke koji podrazumevaju dolaženje do rešenja u više koraka;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da formuliše pretpostavke (hipoteze);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predviđa različite načine rešavanja problema;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izvodi složenije zaključke i ume da ih potkrepi podacima koji su dati u tekstu;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razume, povezuje i objašnjava pojave, procese i odnose koji se ispoljavaju u različitim uslovima i situacijama.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Ume da izabere i povezuje podatke predstavljene na različite simboličke načine;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ume da pronalazi i koristi podatke iz različitih izvora i različitih medija i da ih povezuje sa situacijama iz svakodnevnog života;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iz teksta izdvaja najznačajnije informacije i izvodi zaključke na osnovu njih.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Ima razvijenu muzičku i likovnu pismenost;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da analizira i obrazloži stav o umetničkim delima koja su predstavnici različitih stilova i epoha.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Vlada nekim složenim motoričkim veštinama i tehnikama;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rukuje različitim priborom i alatima i jednostavnim tehnologijama u pojedinim delovima tehnološkog procesa;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izvršava radne zadatke kompetentno i samostalno. 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usmeno, pisano i vizuelno da odgovori na zahteve u poznatim i jednostavnim situacijama.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Primenjuje osnovne računske operacije, formule i ume da primeni jasno opisane postupke;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ume da poredi i razvrstava sadržaje na osnovu zadatog zahteva;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povezuje i kombinuje informacije koje su direktno saopštene i na osnovu njih izvodi zaključke koji su očigledni;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razume i povezuje pojave, procese i odnose koji se ispoljavaju u različitim uslovima i situacijama.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Razlikuje bitno od nebitnog, glavno od sporednog u tipičnim školskim primerima i tekstovima;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razume, koristi i povezuje podatke predstavljene jednostavnim simbolima koji su karakteristični za određene nastavne predmete.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Ima osnove muzičke i likovne pismenosti;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razlikuje tipična umetnička dela na osnovu dominantnih karakteristika pravaca/stila.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Vlada osnovnim motoričkim veštinama i tehnikama;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rukuje različitim priborom i alatima i primenjuje ih u složenijim operacijama;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izvršava radne zadatke kompetentno uz minimum pomoći i/ili nadzora. 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usmeno, pisano i vizuelno da se izražava držeći se osnovnog zahteva u poznatim i jednostavnim situacijama i iznoseći neke pojedinosti.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Direktno primenjuje osnovne računske operacije, formule i ume da primeni jasno opisane postupke koji se sastoje od nekoliko jednostavnih koraka;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primenjuje stečena znanja u dobro poznatim, jednostavnim situacijama;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ume da zaključuje na osnovu informacija koje su jednostavne i međusobno saglasne;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razume pojave, procese i odnose koji se ispoljavaju u različitim uslovima i situacijama.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Poznaje i razume ključne pojmove i usvojio je odgovarajući rečnik;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ume da odredi osnovnu temu i ključne pojmove koji su jasno predstavljeni u jednostavnim tekstovima;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razume i koristi podatke predstavljene jednostavnim simbolima koji su karakteristični za određene nastavne predmete.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Ima osnove muzičke i likovne pismenosti;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poznaje osnovne tehnike i forme muzičkog i likovnog izražavanja;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ume da se muzički i likovno izrazi koristeći jednostavne tehnike i sredstva.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Vlada osnovnim motoričkim veštinama;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rukuje različitim priborom i alatima u jednostavnijim operacijama;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izvršava radne zadatke uz značajnu pomoć i/ili nadzor. </w:t>
            </w:r>
          </w:p>
        </w:tc>
      </w:tr>
    </w:tbl>
    <w:p>
      <w:pPr>
        <w:jc w:val="center"/>
        <w:rPr>
          <w:rFonts w:ascii="Arial" w:hAnsi="Arial" w:eastAsia="Times New Roman" w:cs="Arial"/>
          <w:b/>
          <w:bCs/>
          <w:i/>
          <w:iCs/>
        </w:rPr>
      </w:pPr>
      <w:bookmarkStart w:id="39" w:name="str_17"/>
      <w:bookmarkEnd w:id="39"/>
      <w:r>
        <w:rPr>
          <w:rFonts w:ascii="Arial" w:hAnsi="Arial" w:eastAsia="Times New Roman" w:cs="Arial"/>
          <w:b/>
          <w:bCs/>
          <w:i/>
          <w:iCs/>
        </w:rPr>
        <w:t xml:space="preserve">Kriterijumi za ocenjivanje vladanja </w:t>
      </w:r>
    </w:p>
    <w:tbl>
      <w:tblPr>
        <w:tblStyle w:val="4"/>
        <w:tblW w:w="5000" w:type="pct"/>
        <w:tblCellSpacing w:w="0" w:type="dxa"/>
        <w:tblInd w:w="0" w:type="dxa"/>
        <w:tblBorders>
          <w:top w:val="inset" w:color="000000" w:sz="6" w:space="0"/>
          <w:left w:val="inset" w:color="000000" w:sz="6" w:space="0"/>
          <w:bottom w:val="inset" w:color="000000" w:sz="6" w:space="0"/>
          <w:right w:val="in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670"/>
        <w:gridCol w:w="1435"/>
        <w:gridCol w:w="1509"/>
        <w:gridCol w:w="1782"/>
        <w:gridCol w:w="1404"/>
      </w:tblGrid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Odnos prema školskim obavezama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U potpunosti i pravovremeno izvršava sve obaveze;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redovno pohađa nastavu i druge oblike rada u koje je uključen;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poštuje pravila ponašanja i mere bezbednosti.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Izvršava propisane obaveze;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redovno pohađa nastavu ali ponekad zakasni na čas ili neopravdano izostane;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uglavnom poštuje pravila ponašanja i mere bezbednosti.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Delimično ispunjava propisane obaveze;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često kasni na čas i ponekad neopravdano izostaje sa nastave;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delimično poštuje pravila ponašanja i mere bezbednosti.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Minimalno i neblagovremeno ispunjava propisane obaveze;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ne dolazi na vreme na časove i često neopravdano izostaje sa nastave;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minimalno poštuje pravila ponašanja i mere bezbednosti.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Ne izvršava propisane obaveze;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neopravdano izostaje sa nastave više od 25 časova;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krši pravila ponašanja i ne pridržava se mera bezbednosti. 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Odnos prema drugim učenicima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Neguje atmosferu drugarstva u odeljenju;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>- uživa poverenje među drugovima;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svoje stavove brani argumentovano vodeći računa o osećanjima drugih i usvojenim pravilima ponašanja.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Korektno se odnosi prema drugim učenicima;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braneći svoje stavove manje vodi računa o usvojenim pravilima ponašanja i osećanjima drugih.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Nema uvek korektan odnos prema drugim učenicima;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braneći svoje stavove ne vodi dovoljno računa o usvojenim pravilima ponašanja i osećanjima drugih.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Nema korektan odnos prema učenicima;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braneći svoje stavove ne vodi računa o usvojenim pravilima ponašanja i osećanjima drugih.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Ne poštuje ličnost drugih učenika i prema njima se ponaša netolerantno;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ugrožava i povređuje prava i osećanja drugih. 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Odnos prema zaposlenima u školi i drugim organizacijama u kojima se ostvaruje obrazovno-vaspitni rad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S poštovanjem i uvažavanjem se odnosi prema zaposlenima u škole i drugih organizacija.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Ima korektan odnos prema zaposlenima škole i drugih organizacija.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Nema uvek korektan odnos prema zaposlenima škole i drugih organizacija.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Ne poštuje i ne uvažava zaposlene škole i drugih organizacija.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Ugrožava i povređuje prava i osećanja zaposlenih škole i drugih organizacija. 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Odnos prema izrečenoj vaspitnoj ili vaspitno-disciplinskoj meri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Nema izrečene vaspitne mere.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Preuzima odgovornost za svoje postupke i koriguje svoje ponašanje nakon opomene ili izrečene vaspitne mere.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Prihvata odgovornost za svoje ponašanje i koriguje ga u pojačanom vaspitnom radu;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na upozorenje reaguje popravljanjem ponašanja ali ponavlja postupke za koje je već upozoren.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Teško prihvata odgovornost za svoje ponašanje i ponavlja ponašanja za koja mu je izrečena vaspitna mera.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Ne prihvata odgovornost za svoje ponašanje;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ne popravlja svoje ponašanje nakon pojačanog vaspitnog rada. 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Odnos prema školskoj imovini, imovini drugih i zaštiti i očuvanju životne sredine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Poštuje školsku imovinu i imovinu drugih;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ima aktivan odnos prema očuvanju i zaštiti životne sredine.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Ima korektan odnos prema školskoj imovini i imovini drugih;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čuva životnu sredinu.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Pokazuje nemar prema školskoj imovini i imovini drugih;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pokazuje nemar prema životnoj sredini.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Ne čuva školsku imovinu i imovinu drugih;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pokazuje nemar prema očuvanju životne sredine.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- Pokazuje destruktivno ponašanje prema školskoj imovini i imovini drugih;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 w:type="textWrapping"/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- pokazuje destruktivno ponašanje prema životnoj sredini. </w:t>
            </w:r>
          </w:p>
        </w:tc>
      </w:tr>
    </w:tbl>
    <w:p/>
    <w:p/>
    <w:p/>
    <w:p/>
    <w:p/>
    <w:p/>
    <w:p/>
    <w:p/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/>
    <w:sectPr>
      <w:pgSz w:w="12240" w:h="15840"/>
      <w:pgMar w:top="1440" w:right="1440" w:bottom="1440" w:left="1440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720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67A21"/>
    <w:rsid w:val="000832B7"/>
    <w:rsid w:val="00146819"/>
    <w:rsid w:val="002822BA"/>
    <w:rsid w:val="002F6C8B"/>
    <w:rsid w:val="00346554"/>
    <w:rsid w:val="003F350F"/>
    <w:rsid w:val="004008DD"/>
    <w:rsid w:val="004F4335"/>
    <w:rsid w:val="00513C75"/>
    <w:rsid w:val="00514D36"/>
    <w:rsid w:val="005E6BF8"/>
    <w:rsid w:val="006810FB"/>
    <w:rsid w:val="00693FDF"/>
    <w:rsid w:val="006D701A"/>
    <w:rsid w:val="007857B7"/>
    <w:rsid w:val="00867A21"/>
    <w:rsid w:val="008B136A"/>
    <w:rsid w:val="009D28C6"/>
    <w:rsid w:val="009E7D20"/>
    <w:rsid w:val="00A26AED"/>
    <w:rsid w:val="00A62AAC"/>
    <w:rsid w:val="00A643EA"/>
    <w:rsid w:val="00AE79B3"/>
    <w:rsid w:val="00B53053"/>
    <w:rsid w:val="00BB4E69"/>
    <w:rsid w:val="00C03088"/>
    <w:rsid w:val="00C5130C"/>
    <w:rsid w:val="00CD6CBD"/>
    <w:rsid w:val="00D322CD"/>
    <w:rsid w:val="00E32862"/>
    <w:rsid w:val="00ED2DFC"/>
    <w:rsid w:val="00FD31D5"/>
    <w:rsid w:val="2F7104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40"/>
      <w:jc w:val="both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paragraph" w:styleId="2">
    <w:name w:val="heading 6"/>
    <w:basedOn w:val="1"/>
    <w:link w:val="5"/>
    <w:qFormat/>
    <w:uiPriority w:val="9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6 Char"/>
    <w:basedOn w:val="3"/>
    <w:link w:val="2"/>
    <w:qFormat/>
    <w:uiPriority w:val="9"/>
    <w:rPr>
      <w:rFonts w:eastAsia="Times New Roman"/>
      <w:b/>
      <w:bCs/>
      <w:sz w:val="15"/>
      <w:szCs w:val="15"/>
    </w:rPr>
  </w:style>
  <w:style w:type="paragraph" w:customStyle="1" w:styleId="6">
    <w:name w:val="clan"/>
    <w:basedOn w:val="1"/>
    <w:qFormat/>
    <w:uiPriority w:val="0"/>
    <w:pPr>
      <w:spacing w:after="120"/>
      <w:jc w:val="center"/>
    </w:pPr>
    <w:rPr>
      <w:rFonts w:ascii="Arial" w:hAnsi="Arial" w:eastAsia="Times New Roman" w:cs="Arial"/>
      <w:b/>
      <w:bCs/>
    </w:rPr>
  </w:style>
  <w:style w:type="paragraph" w:customStyle="1" w:styleId="7">
    <w:name w:val="Normal1"/>
    <w:basedOn w:val="1"/>
    <w:qFormat/>
    <w:uiPriority w:val="0"/>
    <w:pPr>
      <w:spacing w:before="100" w:beforeAutospacing="1" w:after="100" w:afterAutospacing="1"/>
      <w:jc w:val="left"/>
    </w:pPr>
    <w:rPr>
      <w:rFonts w:ascii="Arial" w:hAnsi="Arial" w:eastAsia="Times New Roman" w:cs="Arial"/>
      <w:sz w:val="22"/>
      <w:szCs w:val="22"/>
    </w:rPr>
  </w:style>
  <w:style w:type="paragraph" w:customStyle="1" w:styleId="8">
    <w:name w:val="podnaslovpropisa"/>
    <w:basedOn w:val="1"/>
    <w:uiPriority w:val="0"/>
    <w:pPr>
      <w:shd w:val="clear" w:color="auto" w:fill="000000"/>
      <w:spacing w:before="100" w:beforeAutospacing="1" w:after="100" w:afterAutospacing="1"/>
      <w:jc w:val="center"/>
    </w:pPr>
    <w:rPr>
      <w:rFonts w:ascii="Arial" w:hAnsi="Arial" w:eastAsia="Times New Roman" w:cs="Arial"/>
      <w:i/>
      <w:iCs/>
      <w:color w:val="FFE8BF"/>
      <w:sz w:val="26"/>
      <w:szCs w:val="26"/>
    </w:rPr>
  </w:style>
  <w:style w:type="paragraph" w:customStyle="1" w:styleId="9">
    <w:name w:val="normalcentar"/>
    <w:basedOn w:val="1"/>
    <w:uiPriority w:val="0"/>
    <w:pPr>
      <w:spacing w:before="100" w:beforeAutospacing="1" w:after="100" w:afterAutospacing="1"/>
      <w:jc w:val="center"/>
    </w:pPr>
    <w:rPr>
      <w:rFonts w:ascii="Arial" w:hAnsi="Arial" w:eastAsia="Times New Roman" w:cs="Arial"/>
      <w:sz w:val="22"/>
      <w:szCs w:val="22"/>
    </w:rPr>
  </w:style>
  <w:style w:type="paragraph" w:customStyle="1" w:styleId="10">
    <w:name w:val="normalprored"/>
    <w:basedOn w:val="1"/>
    <w:qFormat/>
    <w:uiPriority w:val="0"/>
    <w:pPr>
      <w:spacing w:before="0" w:after="0"/>
      <w:jc w:val="left"/>
    </w:pPr>
    <w:rPr>
      <w:rFonts w:ascii="Arial" w:hAnsi="Arial" w:eastAsia="Times New Roman" w:cs="Arial"/>
      <w:sz w:val="26"/>
      <w:szCs w:val="26"/>
    </w:rPr>
  </w:style>
  <w:style w:type="paragraph" w:customStyle="1" w:styleId="11">
    <w:name w:val="wyq100---naslov-grupe-clanova-kurziv"/>
    <w:basedOn w:val="1"/>
    <w:qFormat/>
    <w:uiPriority w:val="0"/>
    <w:pPr>
      <w:jc w:val="center"/>
    </w:pPr>
    <w:rPr>
      <w:rFonts w:ascii="Arial" w:hAnsi="Arial" w:eastAsia="Times New Roman" w:cs="Arial"/>
      <w:b/>
      <w:bCs/>
      <w:i/>
      <w:iCs/>
    </w:rPr>
  </w:style>
  <w:style w:type="paragraph" w:customStyle="1" w:styleId="12">
    <w:name w:val="wyq110---naslov-clana"/>
    <w:basedOn w:val="1"/>
    <w:qFormat/>
    <w:uiPriority w:val="0"/>
    <w:pPr>
      <w:jc w:val="center"/>
    </w:pPr>
    <w:rPr>
      <w:rFonts w:ascii="Arial" w:hAnsi="Arial" w:eastAsia="Times New Roman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8493-CA0F-40C3-A06E-4940354E6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Prva radost</Company>
  <Pages>1</Pages>
  <Words>6990</Words>
  <Characters>39844</Characters>
  <Lines>332</Lines>
  <Paragraphs>93</Paragraphs>
  <TotalTime>237</TotalTime>
  <ScaleCrop>false</ScaleCrop>
  <LinksUpToDate>false</LinksUpToDate>
  <CharactersWithSpaces>46741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2012-01-24T08:04:00Z</dcterms:created>
  <dc:creator>Prva radost</dc:creator>
  <cp:lastModifiedBy>acama</cp:lastModifiedBy>
  <cp:lastPrinted>2012-02-01T08:41:00Z</cp:lastPrinted>
  <dcterms:modified xsi:type="dcterms:W3CDTF">2024-01-26T07:47:26Z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EB379BC196DE4B2CB70E5E81D063F0B9_12</vt:lpwstr>
  </property>
</Properties>
</file>